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CECF7" w14:textId="77777777" w:rsidR="00E1026A" w:rsidRPr="00E1026A" w:rsidRDefault="00E1026A" w:rsidP="00E1026A">
      <w:pPr>
        <w:shd w:val="clear" w:color="auto" w:fill="FFFFFF"/>
        <w:spacing w:after="90" w:line="660" w:lineRule="atLeast"/>
        <w:textAlignment w:val="baseline"/>
        <w:outlineLvl w:val="1"/>
        <w:rPr>
          <w:rFonts w:ascii="Arial" w:eastAsia="Times New Roman" w:hAnsi="Arial" w:cs="Arial"/>
          <w:color w:val="000000"/>
          <w:sz w:val="28"/>
          <w:szCs w:val="28"/>
        </w:rPr>
      </w:pPr>
      <w:r w:rsidRPr="00E1026A">
        <w:rPr>
          <w:rFonts w:ascii="Arial" w:eastAsia="Times New Roman" w:hAnsi="Arial" w:cs="Arial"/>
          <w:color w:val="000000"/>
          <w:sz w:val="28"/>
          <w:szCs w:val="28"/>
        </w:rPr>
        <w:t>QLD | Sylvia McAra PhD presents; Evidence Updates - Clinical Peripheral Vascular Screening and Assessment</w:t>
      </w:r>
    </w:p>
    <w:p w14:paraId="4C10A98A" w14:textId="77777777" w:rsidR="007A6389" w:rsidRDefault="00E1026A" w:rsidP="007A6389">
      <w:pPr>
        <w:shd w:val="clear" w:color="auto" w:fill="FFFFFF"/>
        <w:spacing w:after="375" w:line="390" w:lineRule="atLeast"/>
        <w:textAlignment w:val="baseline"/>
        <w:rPr>
          <w:rFonts w:ascii="Arial" w:eastAsia="Times New Roman" w:hAnsi="Arial" w:cs="Arial"/>
          <w:color w:val="515151"/>
          <w:sz w:val="16"/>
          <w:szCs w:val="16"/>
        </w:rPr>
      </w:pPr>
      <w:bookmarkStart w:id="0" w:name="_GoBack"/>
      <w:bookmarkEnd w:id="0"/>
      <w:r w:rsidRPr="00E1026A">
        <w:rPr>
          <w:rFonts w:ascii="Arial" w:eastAsia="Times New Roman" w:hAnsi="Arial" w:cs="Arial"/>
          <w:color w:val="515151"/>
          <w:sz w:val="16"/>
          <w:szCs w:val="16"/>
        </w:rPr>
        <w:t>This valuable seminar will update podiatrists in their awareness, knowledge and practice concerning peripheral vascular disease and its assessment and management. Those with existing skills in this area will have their practical knowledge and clinical acumen extended by the presentation and evidence from recent peer-reviewed publications.</w:t>
      </w:r>
    </w:p>
    <w:p w14:paraId="065CBC27" w14:textId="70F397BA" w:rsidR="00E1026A" w:rsidRPr="00E1026A" w:rsidRDefault="00E1026A" w:rsidP="007A6389">
      <w:pPr>
        <w:shd w:val="clear" w:color="auto" w:fill="FFFFFF"/>
        <w:spacing w:after="375" w:line="390" w:lineRule="atLeast"/>
        <w:textAlignment w:val="baseline"/>
        <w:rPr>
          <w:rFonts w:ascii="Arial" w:eastAsia="Times New Roman" w:hAnsi="Arial" w:cs="Arial"/>
          <w:color w:val="515151"/>
          <w:sz w:val="16"/>
          <w:szCs w:val="16"/>
        </w:rPr>
      </w:pPr>
      <w:r w:rsidRPr="00E1026A">
        <w:rPr>
          <w:rFonts w:ascii="opensans-bold" w:eastAsia="Times New Roman" w:hAnsi="opensans-bold" w:cs="Arial"/>
          <w:b/>
          <w:bCs/>
          <w:color w:val="515151"/>
          <w:sz w:val="16"/>
          <w:szCs w:val="16"/>
          <w:bdr w:val="none" w:sz="0" w:space="0" w:color="auto" w:frame="1"/>
        </w:rPr>
        <w:t>Points of Discussion:</w:t>
      </w:r>
    </w:p>
    <w:p w14:paraId="2EAAEAC0" w14:textId="77777777" w:rsidR="00E1026A" w:rsidRPr="00E1026A" w:rsidRDefault="00E1026A" w:rsidP="00E1026A">
      <w:pPr>
        <w:numPr>
          <w:ilvl w:val="0"/>
          <w:numId w:val="1"/>
        </w:numPr>
        <w:shd w:val="clear" w:color="auto" w:fill="FFFFFF"/>
        <w:spacing w:after="0" w:line="390" w:lineRule="atLeast"/>
        <w:ind w:left="525"/>
        <w:textAlignment w:val="baseline"/>
        <w:rPr>
          <w:rFonts w:ascii="Arial" w:eastAsia="Times New Roman" w:hAnsi="Arial" w:cs="Arial"/>
          <w:color w:val="515151"/>
          <w:sz w:val="16"/>
          <w:szCs w:val="16"/>
        </w:rPr>
      </w:pPr>
      <w:proofErr w:type="spellStart"/>
      <w:r w:rsidRPr="00E1026A">
        <w:rPr>
          <w:rFonts w:ascii="Arial" w:eastAsia="Times New Roman" w:hAnsi="Arial" w:cs="Arial"/>
          <w:color w:val="515151"/>
          <w:sz w:val="16"/>
          <w:szCs w:val="16"/>
        </w:rPr>
        <w:t>Standardisation</w:t>
      </w:r>
      <w:proofErr w:type="spellEnd"/>
      <w:r w:rsidRPr="00E1026A">
        <w:rPr>
          <w:rFonts w:ascii="Arial" w:eastAsia="Times New Roman" w:hAnsi="Arial" w:cs="Arial"/>
          <w:color w:val="515151"/>
          <w:sz w:val="16"/>
          <w:szCs w:val="16"/>
        </w:rPr>
        <w:t xml:space="preserve"> of peripheral vascular assessment, improving health outcomes, particularly for those at high risk of vascular disease and its complications</w:t>
      </w:r>
    </w:p>
    <w:p w14:paraId="6DFCA5A2" w14:textId="77777777" w:rsidR="00E1026A" w:rsidRPr="00E1026A" w:rsidRDefault="00E1026A" w:rsidP="00E1026A">
      <w:pPr>
        <w:numPr>
          <w:ilvl w:val="0"/>
          <w:numId w:val="1"/>
        </w:numPr>
        <w:shd w:val="clear" w:color="auto" w:fill="FFFFFF"/>
        <w:spacing w:after="0" w:line="390" w:lineRule="atLeast"/>
        <w:ind w:left="525"/>
        <w:textAlignment w:val="baseline"/>
        <w:rPr>
          <w:rFonts w:ascii="Arial" w:eastAsia="Times New Roman" w:hAnsi="Arial" w:cs="Arial"/>
          <w:color w:val="515151"/>
          <w:sz w:val="16"/>
          <w:szCs w:val="16"/>
        </w:rPr>
      </w:pPr>
      <w:r w:rsidRPr="00E1026A">
        <w:rPr>
          <w:rFonts w:ascii="Arial" w:eastAsia="Times New Roman" w:hAnsi="Arial" w:cs="Arial"/>
          <w:color w:val="515151"/>
          <w:sz w:val="16"/>
          <w:szCs w:val="16"/>
        </w:rPr>
        <w:t>Guidance for clinical practice in cases of impaired vascular supply in assessment of healing potential in the lower limb</w:t>
      </w:r>
    </w:p>
    <w:p w14:paraId="106B288C" w14:textId="77777777" w:rsidR="00E1026A" w:rsidRPr="00E1026A" w:rsidRDefault="00E1026A" w:rsidP="00E1026A">
      <w:pPr>
        <w:numPr>
          <w:ilvl w:val="0"/>
          <w:numId w:val="1"/>
        </w:numPr>
        <w:shd w:val="clear" w:color="auto" w:fill="FFFFFF"/>
        <w:spacing w:after="0" w:line="390" w:lineRule="atLeast"/>
        <w:ind w:left="525"/>
        <w:textAlignment w:val="baseline"/>
        <w:rPr>
          <w:rFonts w:ascii="Arial" w:eastAsia="Times New Roman" w:hAnsi="Arial" w:cs="Arial"/>
          <w:color w:val="515151"/>
          <w:sz w:val="16"/>
          <w:szCs w:val="16"/>
        </w:rPr>
      </w:pPr>
      <w:r w:rsidRPr="00E1026A">
        <w:rPr>
          <w:rFonts w:ascii="Arial" w:eastAsia="Times New Roman" w:hAnsi="Arial" w:cs="Arial"/>
          <w:color w:val="515151"/>
          <w:sz w:val="16"/>
          <w:szCs w:val="16"/>
        </w:rPr>
        <w:t xml:space="preserve">Guidance for clinical practice in cases of lower limb </w:t>
      </w:r>
      <w:proofErr w:type="spellStart"/>
      <w:r w:rsidRPr="00E1026A">
        <w:rPr>
          <w:rFonts w:ascii="Arial" w:eastAsia="Times New Roman" w:hAnsi="Arial" w:cs="Arial"/>
          <w:color w:val="515151"/>
          <w:sz w:val="16"/>
          <w:szCs w:val="16"/>
        </w:rPr>
        <w:t>oedema</w:t>
      </w:r>
      <w:proofErr w:type="spellEnd"/>
      <w:r w:rsidRPr="00E1026A">
        <w:rPr>
          <w:rFonts w:ascii="Arial" w:eastAsia="Times New Roman" w:hAnsi="Arial" w:cs="Arial"/>
          <w:color w:val="515151"/>
          <w:sz w:val="16"/>
          <w:szCs w:val="16"/>
        </w:rPr>
        <w:t>, in assessment and management for compression therapy</w:t>
      </w:r>
    </w:p>
    <w:p w14:paraId="79FF3D86" w14:textId="77777777" w:rsidR="00E1026A" w:rsidRPr="00E1026A" w:rsidRDefault="00E1026A" w:rsidP="00E1026A">
      <w:pPr>
        <w:numPr>
          <w:ilvl w:val="0"/>
          <w:numId w:val="1"/>
        </w:numPr>
        <w:shd w:val="clear" w:color="auto" w:fill="FFFFFF"/>
        <w:spacing w:after="0" w:line="390" w:lineRule="atLeast"/>
        <w:ind w:left="525"/>
        <w:textAlignment w:val="baseline"/>
        <w:rPr>
          <w:rFonts w:ascii="Arial" w:eastAsia="Times New Roman" w:hAnsi="Arial" w:cs="Arial"/>
          <w:color w:val="515151"/>
          <w:sz w:val="16"/>
          <w:szCs w:val="16"/>
        </w:rPr>
      </w:pPr>
      <w:r w:rsidRPr="00E1026A">
        <w:rPr>
          <w:rFonts w:ascii="Arial" w:eastAsia="Times New Roman" w:hAnsi="Arial" w:cs="Arial"/>
          <w:color w:val="515151"/>
          <w:sz w:val="16"/>
          <w:szCs w:val="16"/>
        </w:rPr>
        <w:t>An update on the ankle-brachial index (ABI) from a recent clinically focused literature review</w:t>
      </w:r>
    </w:p>
    <w:p w14:paraId="4FE84680" w14:textId="77777777" w:rsidR="00E1026A" w:rsidRPr="00E1026A" w:rsidRDefault="00E1026A" w:rsidP="00E1026A">
      <w:pPr>
        <w:numPr>
          <w:ilvl w:val="0"/>
          <w:numId w:val="1"/>
        </w:numPr>
        <w:shd w:val="clear" w:color="auto" w:fill="FFFFFF"/>
        <w:spacing w:after="0" w:line="390" w:lineRule="atLeast"/>
        <w:ind w:left="525"/>
        <w:textAlignment w:val="baseline"/>
        <w:rPr>
          <w:rFonts w:ascii="Arial" w:eastAsia="Times New Roman" w:hAnsi="Arial" w:cs="Arial"/>
          <w:color w:val="515151"/>
          <w:sz w:val="16"/>
          <w:szCs w:val="16"/>
        </w:rPr>
      </w:pPr>
      <w:r w:rsidRPr="00E1026A">
        <w:rPr>
          <w:rFonts w:ascii="Arial" w:eastAsia="Times New Roman" w:hAnsi="Arial" w:cs="Arial"/>
          <w:color w:val="515151"/>
          <w:sz w:val="16"/>
          <w:szCs w:val="16"/>
        </w:rPr>
        <w:t>When to use absolute toe pressures versus toe-brachial indexes (TBIs)</w:t>
      </w:r>
    </w:p>
    <w:p w14:paraId="1CE56A0E" w14:textId="77777777" w:rsidR="00E1026A" w:rsidRPr="00E1026A" w:rsidRDefault="00E1026A" w:rsidP="00E1026A">
      <w:pPr>
        <w:numPr>
          <w:ilvl w:val="0"/>
          <w:numId w:val="1"/>
        </w:numPr>
        <w:shd w:val="clear" w:color="auto" w:fill="FFFFFF"/>
        <w:spacing w:after="0" w:line="390" w:lineRule="atLeast"/>
        <w:ind w:left="525"/>
        <w:textAlignment w:val="baseline"/>
        <w:rPr>
          <w:rFonts w:ascii="Arial" w:eastAsia="Times New Roman" w:hAnsi="Arial" w:cs="Arial"/>
          <w:color w:val="515151"/>
          <w:sz w:val="16"/>
          <w:szCs w:val="16"/>
        </w:rPr>
      </w:pPr>
      <w:r w:rsidRPr="00E1026A">
        <w:rPr>
          <w:rFonts w:ascii="Arial" w:eastAsia="Times New Roman" w:hAnsi="Arial" w:cs="Arial"/>
          <w:color w:val="515151"/>
          <w:sz w:val="16"/>
          <w:szCs w:val="16"/>
        </w:rPr>
        <w:t>Doppler interpretation – indicators of vessel health from waveform analysis</w:t>
      </w:r>
    </w:p>
    <w:p w14:paraId="28224E7D" w14:textId="77777777" w:rsidR="00E1026A" w:rsidRPr="00E1026A" w:rsidRDefault="00E1026A" w:rsidP="00E1026A">
      <w:pPr>
        <w:numPr>
          <w:ilvl w:val="0"/>
          <w:numId w:val="1"/>
        </w:numPr>
        <w:shd w:val="clear" w:color="auto" w:fill="FFFFFF"/>
        <w:spacing w:after="0" w:line="390" w:lineRule="atLeast"/>
        <w:ind w:left="525"/>
        <w:textAlignment w:val="baseline"/>
        <w:rPr>
          <w:rFonts w:ascii="Arial" w:eastAsia="Times New Roman" w:hAnsi="Arial" w:cs="Arial"/>
          <w:color w:val="515151"/>
          <w:sz w:val="16"/>
          <w:szCs w:val="16"/>
        </w:rPr>
      </w:pPr>
      <w:r w:rsidRPr="00E1026A">
        <w:rPr>
          <w:rFonts w:ascii="Arial" w:eastAsia="Times New Roman" w:hAnsi="Arial" w:cs="Arial"/>
          <w:color w:val="515151"/>
          <w:sz w:val="16"/>
          <w:szCs w:val="16"/>
        </w:rPr>
        <w:t>Sharpening cardiovascular risk assessment by identifying peripheral arterial disease (a significant but usually asymptomatic and modifiable risk factor) with implications for primary and secondary disease management</w:t>
      </w:r>
    </w:p>
    <w:p w14:paraId="4729DC1D" w14:textId="77777777" w:rsidR="00E1026A" w:rsidRPr="00E1026A" w:rsidRDefault="00E1026A" w:rsidP="00E1026A">
      <w:pPr>
        <w:numPr>
          <w:ilvl w:val="0"/>
          <w:numId w:val="1"/>
        </w:numPr>
        <w:shd w:val="clear" w:color="auto" w:fill="FFFFFF"/>
        <w:spacing w:after="0" w:line="390" w:lineRule="atLeast"/>
        <w:ind w:left="525"/>
        <w:textAlignment w:val="baseline"/>
        <w:rPr>
          <w:rFonts w:ascii="Arial" w:eastAsia="Times New Roman" w:hAnsi="Arial" w:cs="Arial"/>
          <w:color w:val="515151"/>
          <w:sz w:val="16"/>
          <w:szCs w:val="16"/>
        </w:rPr>
      </w:pPr>
      <w:r w:rsidRPr="00E1026A">
        <w:rPr>
          <w:rFonts w:ascii="Arial" w:eastAsia="Times New Roman" w:hAnsi="Arial" w:cs="Arial"/>
          <w:color w:val="515151"/>
          <w:sz w:val="16"/>
          <w:szCs w:val="16"/>
        </w:rPr>
        <w:t>Advice on how to appropriately use benefit schedule rebates for GPs and podiatrists for relevant items of peripheral vascular assessment services and for private health fund rebates.</w:t>
      </w:r>
    </w:p>
    <w:p w14:paraId="2BEE220C" w14:textId="77777777" w:rsidR="00E1026A" w:rsidRPr="00E1026A" w:rsidRDefault="00E1026A" w:rsidP="00E1026A">
      <w:pPr>
        <w:shd w:val="clear" w:color="auto" w:fill="FFFFFF"/>
        <w:spacing w:after="0" w:line="390" w:lineRule="atLeast"/>
        <w:textAlignment w:val="baseline"/>
        <w:rPr>
          <w:rFonts w:ascii="Arial" w:eastAsia="Times New Roman" w:hAnsi="Arial" w:cs="Arial"/>
          <w:color w:val="515151"/>
          <w:sz w:val="16"/>
          <w:szCs w:val="16"/>
        </w:rPr>
      </w:pPr>
      <w:r w:rsidRPr="00E1026A">
        <w:rPr>
          <w:rFonts w:ascii="opensans-bold" w:eastAsia="Times New Roman" w:hAnsi="opensans-bold" w:cs="Arial"/>
          <w:b/>
          <w:bCs/>
          <w:color w:val="515151"/>
          <w:sz w:val="16"/>
          <w:szCs w:val="16"/>
          <w:bdr w:val="none" w:sz="0" w:space="0" w:color="auto" w:frame="1"/>
        </w:rPr>
        <w:t>Presenter: Sylvia McAra PhD. Podiatrist, Researcher, Clinician and Educator</w:t>
      </w:r>
    </w:p>
    <w:p w14:paraId="699CF435" w14:textId="77777777" w:rsidR="00E1026A" w:rsidRPr="00E1026A" w:rsidRDefault="00E1026A" w:rsidP="00E1026A">
      <w:pPr>
        <w:shd w:val="clear" w:color="auto" w:fill="FFFFFF"/>
        <w:spacing w:after="0" w:line="390" w:lineRule="atLeast"/>
        <w:textAlignment w:val="baseline"/>
        <w:rPr>
          <w:rFonts w:ascii="Arial" w:eastAsia="Times New Roman" w:hAnsi="Arial" w:cs="Arial"/>
          <w:color w:val="515151"/>
          <w:sz w:val="16"/>
          <w:szCs w:val="16"/>
        </w:rPr>
      </w:pPr>
      <w:r w:rsidRPr="00E1026A">
        <w:rPr>
          <w:rFonts w:ascii="opensans-bold" w:eastAsia="Times New Roman" w:hAnsi="opensans-bold" w:cs="Arial"/>
          <w:b/>
          <w:bCs/>
          <w:noProof/>
          <w:color w:val="515151"/>
          <w:sz w:val="16"/>
          <w:szCs w:val="16"/>
          <w:bdr w:val="none" w:sz="0" w:space="0" w:color="auto" w:frame="1"/>
        </w:rPr>
        <mc:AlternateContent>
          <mc:Choice Requires="wps">
            <w:drawing>
              <wp:inline distT="0" distB="0" distL="0" distR="0" wp14:anchorId="59296887" wp14:editId="249BF60F">
                <wp:extent cx="304800" cy="304800"/>
                <wp:effectExtent l="0" t="0" r="0" b="0"/>
                <wp:docPr id="1" name="AutoShape 1" descr="https://www.podiatry.org.au/sb_cache/events/id/21749/f/S%20McAr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F4F0A3" id="AutoShape 1" o:spid="_x0000_s1026" alt="https://www.podiatry.org.au/sb_cache/events/id/21749/f/S%20McAra.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HzmuXnAgAABQYAAA4AAAAAAAAAAAAA&#10;AAAALgIAAGRycy9lMm9Eb2MueG1sUEsBAi0AFAAGAAgAAAAhAEyg6SzYAAAAAwEAAA8AAAAAAAAA&#10;AAAAAAAAQQUAAGRycy9kb3ducmV2LnhtbFBLBQYAAAAABAAEAPMAAABGBgAAAAA=&#10;" filled="f" stroked="f">
                <o:lock v:ext="edit" aspectratio="t"/>
                <w10:anchorlock/>
              </v:rect>
            </w:pict>
          </mc:Fallback>
        </mc:AlternateContent>
      </w:r>
    </w:p>
    <w:p w14:paraId="45518AE4" w14:textId="77777777" w:rsidR="00E1026A" w:rsidRPr="00E1026A" w:rsidRDefault="00E1026A" w:rsidP="00E1026A">
      <w:pPr>
        <w:shd w:val="clear" w:color="auto" w:fill="FFFFFF"/>
        <w:spacing w:after="375" w:line="390" w:lineRule="atLeast"/>
        <w:textAlignment w:val="baseline"/>
        <w:rPr>
          <w:rFonts w:ascii="Arial" w:eastAsia="Times New Roman" w:hAnsi="Arial" w:cs="Arial"/>
          <w:color w:val="515151"/>
          <w:sz w:val="16"/>
          <w:szCs w:val="16"/>
        </w:rPr>
      </w:pPr>
      <w:r w:rsidRPr="00E1026A">
        <w:rPr>
          <w:rFonts w:ascii="Arial" w:eastAsia="Times New Roman" w:hAnsi="Arial" w:cs="Arial"/>
          <w:color w:val="515151"/>
          <w:sz w:val="16"/>
          <w:szCs w:val="16"/>
        </w:rPr>
        <w:t>During her time as a clinical educator at Charles Sturt University, Sylvia completed her doctoral project in 2015. The project involved testing the effect of a peripheral vasodilator, glyceryl trinitrate, for its effect on sub-normal TBIs. Sylvia's current activities include private podiatric practice in Wodonga, Victoria, in a large multidisciplinary GP clinic, and membership of the Transition Care Program at Albury Wodonga Health.</w:t>
      </w:r>
    </w:p>
    <w:p w14:paraId="0CBCF428" w14:textId="4E8B663E" w:rsidR="00E1026A" w:rsidRPr="00E1026A" w:rsidRDefault="00E1026A" w:rsidP="007A6389">
      <w:pPr>
        <w:shd w:val="clear" w:color="auto" w:fill="FFFFFF"/>
        <w:spacing w:after="375" w:line="390" w:lineRule="atLeast"/>
        <w:textAlignment w:val="baseline"/>
        <w:rPr>
          <w:rFonts w:ascii="Arial" w:eastAsia="Times New Roman" w:hAnsi="Arial" w:cs="Arial"/>
          <w:color w:val="515151"/>
          <w:sz w:val="16"/>
          <w:szCs w:val="16"/>
        </w:rPr>
      </w:pPr>
      <w:r w:rsidRPr="00E1026A">
        <w:rPr>
          <w:rFonts w:ascii="Arial" w:eastAsia="Times New Roman" w:hAnsi="Arial" w:cs="Arial"/>
          <w:color w:val="515151"/>
          <w:sz w:val="16"/>
          <w:szCs w:val="16"/>
        </w:rPr>
        <w:t>Sylvia has co-authored several journal articles, has current experience in education for GPs and nursing and allied health groups, and she is initiating research on the outcomes of educational intervention in this area.</w:t>
      </w:r>
    </w:p>
    <w:p w14:paraId="47EF624C" w14:textId="77777777" w:rsidR="00E1026A" w:rsidRPr="00E1026A" w:rsidRDefault="00E1026A" w:rsidP="00E1026A">
      <w:pPr>
        <w:shd w:val="clear" w:color="auto" w:fill="FFFFFF"/>
        <w:spacing w:after="0" w:line="390" w:lineRule="atLeast"/>
        <w:textAlignment w:val="baseline"/>
        <w:rPr>
          <w:rFonts w:ascii="Arial" w:eastAsia="Times New Roman" w:hAnsi="Arial" w:cs="Arial"/>
          <w:color w:val="515151"/>
          <w:sz w:val="16"/>
          <w:szCs w:val="16"/>
        </w:rPr>
      </w:pPr>
      <w:r w:rsidRPr="00E1026A">
        <w:rPr>
          <w:rFonts w:ascii="opensans-bold" w:eastAsia="Times New Roman" w:hAnsi="opensans-bold" w:cs="Arial"/>
          <w:b/>
          <w:bCs/>
          <w:color w:val="515151"/>
          <w:sz w:val="16"/>
          <w:szCs w:val="16"/>
          <w:bdr w:val="none" w:sz="0" w:space="0" w:color="auto" w:frame="1"/>
        </w:rPr>
        <w:t>When: </w:t>
      </w:r>
      <w:r w:rsidRPr="00E1026A">
        <w:rPr>
          <w:rFonts w:ascii="Arial" w:eastAsia="Times New Roman" w:hAnsi="Arial" w:cs="Arial"/>
          <w:color w:val="515151"/>
          <w:sz w:val="16"/>
          <w:szCs w:val="16"/>
        </w:rPr>
        <w:t>Thursday, 5 September 2019</w:t>
      </w:r>
    </w:p>
    <w:p w14:paraId="459AC730" w14:textId="77777777" w:rsidR="00E1026A" w:rsidRPr="00E1026A" w:rsidRDefault="00E1026A" w:rsidP="00E1026A">
      <w:pPr>
        <w:shd w:val="clear" w:color="auto" w:fill="FFFFFF"/>
        <w:spacing w:after="0" w:line="390" w:lineRule="atLeast"/>
        <w:textAlignment w:val="baseline"/>
        <w:rPr>
          <w:rFonts w:ascii="Arial" w:eastAsia="Times New Roman" w:hAnsi="Arial" w:cs="Arial"/>
          <w:color w:val="515151"/>
          <w:sz w:val="16"/>
          <w:szCs w:val="16"/>
        </w:rPr>
      </w:pPr>
      <w:r w:rsidRPr="00E1026A">
        <w:rPr>
          <w:rFonts w:ascii="opensans-bold" w:eastAsia="Times New Roman" w:hAnsi="opensans-bold" w:cs="Arial"/>
          <w:b/>
          <w:bCs/>
          <w:color w:val="515151"/>
          <w:sz w:val="16"/>
          <w:szCs w:val="16"/>
          <w:bdr w:val="none" w:sz="0" w:space="0" w:color="auto" w:frame="1"/>
        </w:rPr>
        <w:t>Time: </w:t>
      </w:r>
      <w:r w:rsidRPr="00E1026A">
        <w:rPr>
          <w:rFonts w:ascii="Arial" w:eastAsia="Times New Roman" w:hAnsi="Arial" w:cs="Arial"/>
          <w:color w:val="515151"/>
          <w:sz w:val="16"/>
          <w:szCs w:val="16"/>
        </w:rPr>
        <w:t>6:00pm arrival for 6:30pm start until 9:00/9:30pm (3 hours CPD)</w:t>
      </w:r>
    </w:p>
    <w:p w14:paraId="5DD86483" w14:textId="77777777" w:rsidR="00E1026A" w:rsidRPr="00E1026A" w:rsidRDefault="00E1026A" w:rsidP="00E1026A">
      <w:pPr>
        <w:shd w:val="clear" w:color="auto" w:fill="FFFFFF"/>
        <w:spacing w:after="0" w:line="390" w:lineRule="atLeast"/>
        <w:textAlignment w:val="baseline"/>
        <w:rPr>
          <w:rFonts w:ascii="Arial" w:eastAsia="Times New Roman" w:hAnsi="Arial" w:cs="Arial"/>
          <w:color w:val="515151"/>
          <w:sz w:val="16"/>
          <w:szCs w:val="16"/>
        </w:rPr>
      </w:pPr>
      <w:r w:rsidRPr="00E1026A">
        <w:rPr>
          <w:rFonts w:ascii="opensans-bold" w:eastAsia="Times New Roman" w:hAnsi="opensans-bold" w:cs="Arial"/>
          <w:b/>
          <w:bCs/>
          <w:color w:val="515151"/>
          <w:sz w:val="16"/>
          <w:szCs w:val="16"/>
          <w:bdr w:val="none" w:sz="0" w:space="0" w:color="auto" w:frame="1"/>
        </w:rPr>
        <w:t>Where: </w:t>
      </w:r>
      <w:proofErr w:type="spellStart"/>
      <w:r w:rsidRPr="00E1026A">
        <w:rPr>
          <w:rFonts w:ascii="Arial" w:eastAsia="Times New Roman" w:hAnsi="Arial" w:cs="Arial"/>
          <w:color w:val="515151"/>
          <w:sz w:val="16"/>
          <w:szCs w:val="16"/>
        </w:rPr>
        <w:t>Chermside</w:t>
      </w:r>
      <w:proofErr w:type="spellEnd"/>
      <w:r w:rsidRPr="00E1026A">
        <w:rPr>
          <w:rFonts w:ascii="Arial" w:eastAsia="Times New Roman" w:hAnsi="Arial" w:cs="Arial"/>
          <w:color w:val="515151"/>
          <w:sz w:val="16"/>
          <w:szCs w:val="16"/>
        </w:rPr>
        <w:t xml:space="preserve"> Community Health Centre. 490 Hamilton Road </w:t>
      </w:r>
      <w:r w:rsidRPr="00E1026A">
        <w:rPr>
          <w:rFonts w:ascii="opensans-bold-italic" w:eastAsia="Times New Roman" w:hAnsi="opensans-bold-italic" w:cs="Arial"/>
          <w:i/>
          <w:iCs/>
          <w:color w:val="515151"/>
          <w:sz w:val="16"/>
          <w:szCs w:val="16"/>
          <w:bdr w:val="none" w:sz="0" w:space="0" w:color="auto" w:frame="1"/>
        </w:rPr>
        <w:t>(behind The Prince Charles Hospital).</w:t>
      </w:r>
    </w:p>
    <w:p w14:paraId="5194DAE4" w14:textId="77777777" w:rsidR="00E1026A" w:rsidRPr="00E1026A" w:rsidRDefault="00E1026A" w:rsidP="00E1026A">
      <w:pPr>
        <w:shd w:val="clear" w:color="auto" w:fill="FFFFFF"/>
        <w:spacing w:after="0" w:line="390" w:lineRule="atLeast"/>
        <w:textAlignment w:val="baseline"/>
        <w:rPr>
          <w:rFonts w:ascii="Arial" w:eastAsia="Times New Roman" w:hAnsi="Arial" w:cs="Arial"/>
          <w:color w:val="515151"/>
          <w:sz w:val="16"/>
          <w:szCs w:val="16"/>
        </w:rPr>
      </w:pPr>
      <w:r w:rsidRPr="00E1026A">
        <w:rPr>
          <w:rFonts w:ascii="opensans-bold" w:eastAsia="Times New Roman" w:hAnsi="opensans-bold" w:cs="Arial"/>
          <w:b/>
          <w:bCs/>
          <w:color w:val="515151"/>
          <w:sz w:val="16"/>
          <w:szCs w:val="16"/>
          <w:bdr w:val="none" w:sz="0" w:space="0" w:color="auto" w:frame="1"/>
        </w:rPr>
        <w:t>Location Map:</w:t>
      </w:r>
      <w:r w:rsidRPr="00E1026A">
        <w:rPr>
          <w:rFonts w:ascii="Arial" w:eastAsia="Times New Roman" w:hAnsi="Arial" w:cs="Arial"/>
          <w:color w:val="515151"/>
          <w:sz w:val="16"/>
          <w:szCs w:val="16"/>
        </w:rPr>
        <w:t> </w:t>
      </w:r>
      <w:hyperlink r:id="rId5" w:tgtFrame="_blank" w:history="1">
        <w:r w:rsidRPr="00E1026A">
          <w:rPr>
            <w:rFonts w:ascii="Arial" w:eastAsia="Times New Roman" w:hAnsi="Arial" w:cs="Arial"/>
            <w:color w:val="F67500"/>
            <w:sz w:val="16"/>
            <w:szCs w:val="16"/>
            <w:u w:val="single"/>
            <w:bdr w:val="none" w:sz="0" w:space="0" w:color="auto" w:frame="1"/>
          </w:rPr>
          <w:t>Open Here</w:t>
        </w:r>
      </w:hyperlink>
    </w:p>
    <w:p w14:paraId="569E4CD8" w14:textId="77777777" w:rsidR="00E1026A" w:rsidRDefault="00E1026A"/>
    <w:sectPr w:rsidR="00E1026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bold">
    <w:altName w:val="Cambria"/>
    <w:panose1 w:val="00000000000000000000"/>
    <w:charset w:val="00"/>
    <w:family w:val="roman"/>
    <w:notTrueType/>
    <w:pitch w:val="default"/>
  </w:font>
  <w:font w:name="opensans-bold-italic">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D5BB5"/>
    <w:multiLevelType w:val="multilevel"/>
    <w:tmpl w:val="EDA8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A"/>
    <w:rsid w:val="007A6389"/>
    <w:rsid w:val="00E1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CF96"/>
  <w15:chartTrackingRefBased/>
  <w15:docId w15:val="{E6EDD47A-5066-438B-9CE4-778A3F84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23005">
      <w:bodyDiv w:val="1"/>
      <w:marLeft w:val="0"/>
      <w:marRight w:val="0"/>
      <w:marTop w:val="0"/>
      <w:marBottom w:val="0"/>
      <w:divBdr>
        <w:top w:val="none" w:sz="0" w:space="0" w:color="auto"/>
        <w:left w:val="none" w:sz="0" w:space="0" w:color="auto"/>
        <w:bottom w:val="none" w:sz="0" w:space="0" w:color="auto"/>
        <w:right w:val="none" w:sz="0" w:space="0" w:color="auto"/>
      </w:divBdr>
      <w:divsChild>
        <w:div w:id="703095473">
          <w:marLeft w:val="0"/>
          <w:marRight w:val="0"/>
          <w:marTop w:val="0"/>
          <w:marBottom w:val="90"/>
          <w:divBdr>
            <w:top w:val="single" w:sz="6" w:space="0" w:color="FFFFFF"/>
            <w:left w:val="single" w:sz="6" w:space="0" w:color="FFFFFF"/>
            <w:bottom w:val="single" w:sz="6" w:space="0" w:color="FFFFFF"/>
            <w:right w:val="single" w:sz="6" w:space="0" w:color="FFFFFF"/>
          </w:divBdr>
          <w:divsChild>
            <w:div w:id="781193645">
              <w:marLeft w:val="0"/>
              <w:marRight w:val="0"/>
              <w:marTop w:val="0"/>
              <w:marBottom w:val="0"/>
              <w:divBdr>
                <w:top w:val="none" w:sz="0" w:space="0" w:color="auto"/>
                <w:left w:val="none" w:sz="0" w:space="0" w:color="auto"/>
                <w:bottom w:val="none" w:sz="0" w:space="0" w:color="auto"/>
                <w:right w:val="none" w:sz="0" w:space="0" w:color="auto"/>
              </w:divBdr>
            </w:div>
          </w:divsChild>
        </w:div>
        <w:div w:id="101673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direct.gov.au/australian-health-services/20146181/chermside-community-health-centre-podiatry/services/chermside-4032-hamilt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2241</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QLD | Sylvia McAra PhD presents; Evidence Updates - Clinical Peripheral Vascular</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Syliva</dc:creator>
  <cp:keywords/>
  <dc:description/>
  <cp:lastModifiedBy>Syliva</cp:lastModifiedBy>
  <cp:revision>2</cp:revision>
  <dcterms:created xsi:type="dcterms:W3CDTF">2019-08-03T10:09:00Z</dcterms:created>
  <dcterms:modified xsi:type="dcterms:W3CDTF">2019-08-03T10:09:00Z</dcterms:modified>
</cp:coreProperties>
</file>